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bc68668a7dc4262"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Risk matrix: Each hazard the guidance names, with columns for what the data shows, severity, likelihood, controls, residual risk, owner and review date.</w:t>
      </w:r>
    </w:p>
    <w:p>
      <w:pPr>
        <w:spacing w:after="160"/>
      </w:pPr>
      <w:r>
        <w:rPr>
          <w:i/>
          <w:sz w:val="22"/>
        </w:rPr>
        <w:t xml:space="preserve">“The review should include the identification of any risks and opportunities presented by the home's location and strategies for managing these.” (Guide to the Children's Homes Regulations including the quality standards, paragraph 15.1).</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54842591bc1346c8"/>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Risk matrix</w:t>
      </w:r>
    </w:p>
    <w:p>
      <w:pPr>
        <w:spacing w:after="160"/>
      </w:pPr>
      <w:r>
        <w:rPr>
          <w:i/>
          <w:sz w:val="18"/>
        </w:rPr>
        <w:t xml:space="preserve">A free template from Safeguarding Context, https://www.safeguardingcontext.co.uk/childrens-homes/templates. It holds no data: replace each part in square brackets.</w:t>
      </w:r>
    </w:p>
    <w:p>
      <w:pPr>
        <w:spacing w:after="160"/>
      </w:pPr>
      <w:r>
        <w:rPr>
          <w:sz w:val="22"/>
        </w:rPr>
        <w:t xml:space="preserve">Each row is a hazard the guidance names. Write in what the public data, the consultation and the children show, then score each one before and after its controls. Add a row for anything else the review finds.</w:t>
      </w:r>
    </w:p>
    <w:p>
      <w:pPr>
        <w:spacing w:after="160"/>
      </w:pPr>
      <w:r>
        <w:rPr>
          <w:i/>
          <w:sz w:val="22"/>
        </w:rPr>
        <w:t xml:space="preserve">“The review should include the identification of any risks and opportunities presented by the home's location and strategies for managing these.” (Guide to the Children's Homes Regulations including the quality standards, paragraph 15.1).</w:t>
      </w:r>
    </w:p>
    <w:tbl>
      <w:tblPr>
        <w:tblW w:w="14853"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2025"/>
        <w:gridCol w:w="4050"/>
        <w:gridCol w:w="675"/>
        <w:gridCol w:w="675"/>
        <w:gridCol w:w="675"/>
        <w:gridCol w:w="2700"/>
        <w:gridCol w:w="1350"/>
        <w:gridCol w:w="1350"/>
        <w:gridCol w:w="1350"/>
      </w:tblGrid>
      <w:tr>
        <w:trPr>
          <w:cantSplit/>
          <w:tblHeader/>
        </w:trPr>
        <w:tc>
          <w:tcPr>
            <w:tcW w:w="2025" w:type="dxa"/>
            <w:shd w:val="clear" w:color="auto" w:fill="E7E6E6"/>
          </w:tcPr>
          <w:p>
            <w:pPr>
              <w:spacing w:after="0"/>
            </w:pPr>
            <w:r>
              <w:rPr>
                <w:b/>
                <w:sz w:val="18"/>
              </w:rPr>
              <w:t xml:space="preserve">Hazard or risk</w:t>
            </w:r>
          </w:p>
        </w:tc>
        <w:tc>
          <w:tcPr>
            <w:tcW w:w="4050" w:type="dxa"/>
            <w:shd w:val="clear" w:color="auto" w:fill="E7E6E6"/>
          </w:tcPr>
          <w:p>
            <w:pPr>
              <w:spacing w:after="0"/>
            </w:pPr>
            <w:r>
              <w:rPr>
                <w:b/>
                <w:sz w:val="18"/>
              </w:rPr>
              <w:t xml:space="preserve">What the public data shows</w:t>
            </w:r>
          </w:p>
        </w:tc>
        <w:tc>
          <w:tcPr>
            <w:tcW w:w="675" w:type="dxa"/>
            <w:shd w:val="clear" w:color="auto" w:fill="E7E6E6"/>
          </w:tcPr>
          <w:p>
            <w:pPr>
              <w:spacing w:after="0"/>
            </w:pPr>
            <w:r>
              <w:rPr>
                <w:b/>
                <w:sz w:val="18"/>
              </w:rPr>
              <w:t xml:space="preserve">Severity (1 to 3)</w:t>
            </w:r>
          </w:p>
        </w:tc>
        <w:tc>
          <w:tcPr>
            <w:tcW w:w="675" w:type="dxa"/>
            <w:shd w:val="clear" w:color="auto" w:fill="E7E6E6"/>
          </w:tcPr>
          <w:p>
            <w:pPr>
              <w:spacing w:after="0"/>
            </w:pPr>
            <w:r>
              <w:rPr>
                <w:b/>
                <w:sz w:val="18"/>
              </w:rPr>
              <w:t xml:space="preserve">Likelihood (1 to 3)</w:t>
            </w:r>
          </w:p>
        </w:tc>
        <w:tc>
          <w:tcPr>
            <w:tcW w:w="675" w:type="dxa"/>
            <w:shd w:val="clear" w:color="auto" w:fill="E7E6E6"/>
          </w:tcPr>
          <w:p>
            <w:pPr>
              <w:spacing w:after="0"/>
            </w:pPr>
            <w:r>
              <w:rPr>
                <w:b/>
                <w:sz w:val="18"/>
              </w:rPr>
              <w:t xml:space="preserve">Overall</w:t>
            </w:r>
          </w:p>
        </w:tc>
        <w:tc>
          <w:tcPr>
            <w:tcW w:w="2700" w:type="dxa"/>
            <w:shd w:val="clear" w:color="auto" w:fill="E7E6E6"/>
          </w:tcPr>
          <w:p>
            <w:pPr>
              <w:spacing w:after="0"/>
            </w:pPr>
            <w:r>
              <w:rPr>
                <w:b/>
                <w:sz w:val="18"/>
              </w:rPr>
              <w:t xml:space="preserve">Controls</w:t>
            </w:r>
          </w:p>
        </w:tc>
        <w:tc>
          <w:tcPr>
            <w:tcW w:w="1350" w:type="dxa"/>
            <w:shd w:val="clear" w:color="auto" w:fill="E7E6E6"/>
          </w:tcPr>
          <w:p>
            <w:pPr>
              <w:spacing w:after="0"/>
            </w:pPr>
            <w:r>
              <w:rPr>
                <w:b/>
                <w:sz w:val="18"/>
              </w:rPr>
              <w:t xml:space="preserve">Residual risk</w:t>
            </w:r>
          </w:p>
        </w:tc>
        <w:tc>
          <w:tcPr>
            <w:tcW w:w="1350" w:type="dxa"/>
            <w:shd w:val="clear" w:color="auto" w:fill="E7E6E6"/>
          </w:tcPr>
          <w:p>
            <w:pPr>
              <w:spacing w:after="0"/>
            </w:pPr>
            <w:r>
              <w:rPr>
                <w:b/>
                <w:sz w:val="18"/>
              </w:rPr>
              <w:t xml:space="preserve">Owner (role)</w:t>
            </w:r>
          </w:p>
        </w:tc>
        <w:tc>
          <w:tcPr>
            <w:tcW w:w="1350" w:type="dxa"/>
            <w:shd w:val="clear" w:color="auto" w:fill="E7E6E6"/>
          </w:tcPr>
          <w:p>
            <w:pPr>
              <w:spacing w:after="0"/>
            </w:pPr>
            <w:r>
              <w:rPr>
                <w:b/>
                <w:sz w:val="18"/>
              </w:rPr>
              <w:t xml:space="preserve">Review date</w:t>
            </w:r>
          </w:p>
        </w:tc>
      </w:tr>
      <w:tr>
        <w:trPr>
          <w:cantSplit/>
          <w:trHeight w:val="700" w:hRule="atLeast"/>
        </w:trPr>
        <w:tc>
          <w:tcPr>
            <w:tcW w:w="2025" w:type="dxa"/>
          </w:tcPr>
          <w:p>
            <w:pPr>
              <w:spacing w:after="0"/>
            </w:pPr>
            <w:r>
              <w:rPr>
                <w:sz w:val="18"/>
              </w:rPr>
              <w:t xml:space="preserve">Exploitation, criminal and sexual</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Going missing</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Gangs and anti-social behaviour</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Crime near the address</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Roads</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Water, railway lines and level crossings</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Deprivation and access to services</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Other homes and placements nearby</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Other, from the consultation and the children's views</w:t>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r>
        <w:trPr>
          <w:cantSplit/>
          <w:trHeight w:val="700" w:hRule="atLeast"/>
        </w:trPr>
        <w:tc>
          <w:tcPr>
            <w:tcW w:w="2025" w:type="dxa"/>
          </w:tcPr>
          <w:p>
            <w:pPr>
              <w:spacing w:after="0"/>
            </w:pPr>
            <w:r>
              <w:rPr>
                <w:sz w:val="18"/>
              </w:rPr>
              <w:t xml:space="preserve"/>
            </w:r>
          </w:p>
        </w:tc>
        <w:tc>
          <w:tcPr>
            <w:tcW w:w="4050"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675" w:type="dxa"/>
          </w:tcPr>
          <w:p>
            <w:pPr>
              <w:spacing w:after="0"/>
            </w:pPr>
            <w:r>
              <w:rPr>
                <w:sz w:val="18"/>
              </w:rPr>
              <w:t xml:space="preserve"/>
            </w:r>
          </w:p>
        </w:tc>
        <w:tc>
          <w:tcPr>
            <w:tcW w:w="270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c>
          <w:tcPr>
            <w:tcW w:w="1350" w:type="dxa"/>
          </w:tcPr>
          <w:p>
            <w:pPr>
              <w:spacing w:after="0"/>
            </w:pPr>
            <w:r>
              <w:rPr>
                <w:sz w:val="18"/>
              </w:rPr>
              <w:t xml:space="preserve"/>
            </w:r>
          </w:p>
        </w:tc>
      </w:tr>
    </w:tbl>
    <w:p>
      <w:pPr>
        <w:spacing w:after="0"/>
      </w:pPr>
      <w:r>
        <w:rPr>
          <w:sz w:val="22"/>
        </w:rPr>
        <w:t xml:space="preserve"/>
      </w:r>
    </w:p>
    <w:p>
      <w:pPr>
        <w:keepNext/>
        <w:spacing w:after="120"/>
      </w:pPr>
      <w:r>
        <w:rPr>
          <w:b/>
          <w:sz w:val="24"/>
        </w:rPr>
        <w:t xml:space="preserve">The scale</w:t>
      </w:r>
    </w:p>
    <w:p>
      <w:pPr>
        <w:numPr>
          <w:ilvl w:val="0"/>
          <w:numId w:val="1"/>
        </w:numPr>
        <w:spacing w:after="80"/>
      </w:pPr>
      <w:r>
        <w:rPr>
          <w:sz w:val="22"/>
        </w:rPr>
        <w:t xml:space="preserve">Severity: 1 for harm that is minor and quickly put right; 2 for harm that needs others' help to put right; 3 for serious harm to a child's safety or welfare.</w:t>
      </w:r>
    </w:p>
    <w:p>
      <w:pPr>
        <w:numPr>
          <w:ilvl w:val="0"/>
          <w:numId w:val="1"/>
        </w:numPr>
        <w:spacing w:after="80"/>
      </w:pPr>
      <w:r>
        <w:rPr>
          <w:sz w:val="22"/>
        </w:rPr>
        <w:t xml:space="preserve">Likelihood: 1 for unlikely in the year; 2 for possible; 3 for likely, or already happening.</w:t>
      </w:r>
    </w:p>
    <w:p>
      <w:pPr>
        <w:numPr>
          <w:ilvl w:val="0"/>
          <w:numId w:val="1"/>
        </w:numPr>
        <w:spacing w:after="80"/>
      </w:pPr>
      <w:r>
        <w:rPr>
          <w:sz w:val="22"/>
        </w:rPr>
        <w:t xml:space="preserve">Overall: severity multiplied by likelihood. 1 or 2 is low, 3 or 4 is medium, 6 to 9 is high.</w:t>
      </w:r>
    </w:p>
    <w:p>
      <w:pPr>
        <w:numPr>
          <w:ilvl w:val="0"/>
          <w:numId w:val="1"/>
        </w:numPr>
        <w:spacing w:after="80"/>
      </w:pPr>
      <w:r>
        <w:rPr>
          <w:sz w:val="22"/>
        </w:rPr>
        <w:t xml:space="preserve">Residual risk: the overall score again once the controls are in place.</w:t>
      </w:r>
    </w:p>
    <w:p>
      <w:pPr>
        <w:numPr>
          <w:ilvl w:val="0"/>
          <w:numId w:val="1"/>
        </w:numPr>
        <w:spacing w:after="80"/>
      </w:pPr>
      <w:r>
        <w:rPr>
          <w:sz w:val="22"/>
        </w:rPr>
        <w:t xml:space="preserve">If your organisation has its own scale, use it instead and say which.</w:t>
      </w:r>
    </w:p>
    <w:p>
      <w:pPr>
        <w:spacing w:after="160"/>
      </w:pPr>
      <w:r>
        <w:rPr>
          <w:sz w:val="22"/>
        </w:rPr>
        <w:t xml:space="preserve">The owner is a role, never a name. Nothing about any child belongs in this matrix: each child's own risks belong in their individual risk assessment, which draws on it.</w:t>
      </w:r>
    </w:p>
    <w:sectPr>
      <w:footerReference xmlns:r="http://schemas.openxmlformats.org/officeDocument/2006/relationships" w:type="default" r:id="R0aba3bb1c4534377"/>
      <w:pgSz w:w="16838" w:h="11906" w:orient="landscape"/>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a children's home, once completed. Free template from Safeguarding Context: safeguardingcontext.co.uk/childrens-homes</w:t>
    </w:r>
  </w:p>
</w:ftr>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54842591bc1346c8" /><Relationship Type="http://schemas.openxmlformats.org/officeDocument/2006/relationships/numbering" Target="/word/numbering.xml" Id="Re49c290a87a64529" /><Relationship Type="http://schemas.openxmlformats.org/officeDocument/2006/relationships/footer" Target="/word/footer1.xml" Id="R0aba3bb1c4534377" /></Relationships>
</file>