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45219e34cb14395" /></Relationships>
</file>

<file path=word/document.xml><?xml version="1.0" encoding="utf-8"?>
<w:document xmlns:w="http://schemas.openxmlformats.org/wordprocessingml/2006/main">
  <w:body>
    <w:p>
      <w:pPr>
        <w:keepNext/>
        <w:spacing w:after="120"/>
      </w:pPr>
      <w:r>
        <w:rPr>
          <w:b/>
          <w:sz w:val="24"/>
        </w:rPr>
        <w:t xml:space="preserve">How to use this template</w:t>
      </w:r>
    </w:p>
    <w:p>
      <w:pPr>
        <w:spacing w:after="160"/>
      </w:pPr>
      <w:r>
        <w:rPr>
          <w:sz w:val="22"/>
        </w:rPr>
        <w:t xml:space="preserve">Review record and sign-off: The calendar year covered, why the review was held, the consultation, and sign-off by the registered manager and the responsible individual.</w:t>
      </w:r>
    </w:p>
    <w:p>
      <w:pPr>
        <w:spacing w:after="160"/>
      </w:pPr>
      <w:r>
        <w:rPr>
          <w:i/>
          <w:sz w:val="22"/>
        </w:rPr>
        <w:t xml:space="preserve">“The registered person must review the appropriateness and suitability of the location of the premises used for the purposes of the children's home at least once in each calendar year taking into account the requirement in regulation 12(2)(c) (the protection of children standard).” (The Children's Homes (England) Regulations 2015, regulation 46(1)).</w:t>
      </w:r>
    </w:p>
    <w:p>
      <w:pPr>
        <w:spacing w:after="160"/>
      </w:pPr>
      <w:r>
        <w:rPr>
          <w:b/>
          <w:sz w:val="22"/>
        </w:rPr>
        <w:t xml:space="preserve">Remove this page when you start. Replace every part in square brackets, and keep the completed file confidential.</w:t>
      </w:r>
    </w:p>
    <w:p>
      <w:pPr>
        <w:spacing w:after="0"/>
      </w:pPr>
      <w:r>
        <w:rPr>
          <w:b/>
          <w:sz w:val="22"/>
        </w:rPr>
        <w:t xml:space="preserve">Free template from Safeguarding Context</w:t>
      </w:r>
    </w:p>
    <w:p>
      <w:pPr>
        <w:spacing w:after="160"/>
      </w:pPr>
      <w:r>
        <w:rPr>
          <w:sz w:val="22"/>
        </w:rPr>
        <w:t xml:space="preserve">The location assessment evidence pack fills in the public data for your area: www.safeguardingcontext.co.uk/childrens-homes</w:t>
      </w:r>
    </w:p>
    <w:p>
      <w:pPr>
        <w:spacing w:after="160"/>
      </w:pPr>
      <w:r>
        <w:drawing>
          <wp:inline xmlns:wp="http://schemas.openxmlformats.org/drawingml/2006/wordprocessingDrawing" distT="0" distB="0" distL="0" distR="0">
            <wp:extent cx="1080000" cy="1080000"/>
            <wp:effectExtent l="0" t="0" r="0" b="0"/>
            <wp:docPr id="1" name="Image 1" descr="QR code that opens the Safeguarding Context page on this year's location review, www.safeguardingcontext.co.uk/childrens-homes/location-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QR code that opens the Safeguarding Context page on this year's location review, www.safeguardingcontext.co.uk/childrens-homes/location-review"/>
                    <pic:cNvPicPr/>
                  </pic:nvPicPr>
                  <pic:blipFill>
                    <a:blip xmlns:r="http://schemas.openxmlformats.org/officeDocument/2006/relationships" r:embed="Rd8dcd6d5be9f4654"/>
                    <a:stretch>
                      <a:fillRect/>
                    </a:stretch>
                  </pic:blipFill>
                  <pic:spPr>
                    <a:xfrm>
                      <a:off x="0" y="0"/>
                      <a:ext cx="1080000" cy="1080000"/>
                    </a:xfrm>
                    <a:prstGeom prst="rect">
                      <a:avLst/>
                    </a:prstGeom>
                  </pic:spPr>
                </pic:pic>
              </a:graphicData>
            </a:graphic>
          </wp:inline>
        </w:drawing>
      </w:r>
    </w:p>
    <w:p>
      <w:r>
        <w:br w:type="page"/>
      </w:r>
    </w:p>
    <w:p>
      <w:pPr>
        <w:spacing w:after="160"/>
      </w:pPr>
      <w:r>
        <w:rPr>
          <w:b/>
          <w:sz w:val="32"/>
        </w:rPr>
        <w:t xml:space="preserve">Review record and sign-off</w:t>
      </w:r>
    </w:p>
    <w:p>
      <w:pPr>
        <w:spacing w:after="160"/>
      </w:pPr>
      <w:r>
        <w:rPr>
          <w:i/>
          <w:sz w:val="18"/>
        </w:rPr>
        <w:t xml:space="preserve">A free template from Safeguarding Context, https://www.safeguardingcontext.co.uk/childrens-homes/templates. It holds no data: replace each part in square brackets.</w:t>
      </w:r>
    </w:p>
    <w:p>
      <w:pPr>
        <w:spacing w:after="0"/>
      </w:pPr>
      <w:r>
        <w:rPr>
          <w:sz w:val="22"/>
        </w:rPr>
        <w:t xml:space="preserve">Calendar year covered: 1 January to 31 December [year]</w:t>
      </w:r>
    </w:p>
    <w:p>
      <w:pPr>
        <w:spacing w:after="0"/>
      </w:pPr>
      <w:r>
        <w:rPr>
          <w:sz w:val="22"/>
        </w:rPr>
        <w:t xml:space="preserve">Date of this review: [date]</w:t>
      </w:r>
    </w:p>
    <w:p>
      <w:pPr>
        <w:spacing w:after="0"/>
      </w:pPr>
      <w:r>
        <w:rPr>
          <w:sz w:val="22"/>
        </w:rPr>
        <w:t xml:space="preserve">Next review due: by 31 December [the following year] at the latest, and sooner if a trigger below occurs</w:t>
      </w:r>
    </w:p>
    <w:p>
      <w:pPr>
        <w:spacing w:after="160"/>
      </w:pPr>
      <w:r>
        <w:rPr>
          <w:sz w:val="22"/>
        </w:rPr>
        <w:t xml:space="preserve">Data used: [the public data the review used, where it came from and the month it runs to]</w:t>
      </w:r>
    </w:p>
    <w:p>
      <w:pPr>
        <w:keepNext/>
        <w:spacing w:after="120"/>
      </w:pPr>
      <w:r>
        <w:rPr>
          <w:b/>
          <w:sz w:val="24"/>
        </w:rPr>
        <w:t xml:space="preserve">Why this review (tick each that applies)</w:t>
      </w:r>
    </w:p>
    <w:p>
      <w:pPr>
        <w:spacing w:after="0"/>
      </w:pPr>
      <w:r>
        <w:rPr>
          <w:sz w:val="22"/>
        </w:rPr>
        <w:t xml:space="preserve">[   ]  The review for the calendar year [year]</w:t>
      </w:r>
    </w:p>
    <w:p>
      <w:pPr>
        <w:spacing w:after="0"/>
      </w:pPr>
      <w:r>
        <w:rPr>
          <w:sz w:val="22"/>
        </w:rPr>
        <w:t xml:space="preserve">[   ]  A serious event involving a child, notified to Ofsted under regulation 40, linked to the area.</w:t>
      </w:r>
    </w:p>
    <w:p>
      <w:pPr>
        <w:spacing w:after="0"/>
      </w:pPr>
      <w:r>
        <w:rPr>
          <w:sz w:val="22"/>
        </w:rPr>
        <w:t xml:space="preserve">[   ]  A child is to move in whose needs this assessment did not consider.</w:t>
      </w:r>
    </w:p>
    <w:p>
      <w:pPr>
        <w:spacing w:after="0"/>
      </w:pPr>
      <w:r>
        <w:rPr>
          <w:sz w:val="22"/>
        </w:rPr>
        <w:t xml:space="preserve">[   ]  An incident involving a child, or a concern about exploitation, linked to the area.</w:t>
      </w:r>
    </w:p>
    <w:p>
      <w:pPr>
        <w:spacing w:after="0"/>
      </w:pPr>
      <w:r>
        <w:rPr>
          <w:sz w:val="22"/>
        </w:rPr>
        <w:t xml:space="preserve">[   ]  The police, the host authority or a placing authority tells the home of a new risk in the area.</w:t>
      </w:r>
    </w:p>
    <w:p>
      <w:pPr>
        <w:spacing w:after="0"/>
      </w:pPr>
      <w:r>
        <w:rPr>
          <w:sz w:val="22"/>
        </w:rPr>
        <w:t xml:space="preserve">[   ]  The area changes: a new venue open late, a site that draws adults and children, a change to the roads or the transport.</w:t>
      </w:r>
    </w:p>
    <w:p>
      <w:pPr>
        <w:spacing w:after="0"/>
      </w:pPr>
      <w:r>
        <w:rPr>
          <w:sz w:val="22"/>
        </w:rPr>
        <w:t xml:space="preserve">[   ]  The statement of purpose, the building or the number of children changes.</w:t>
      </w:r>
    </w:p>
    <w:p>
      <w:pPr>
        <w:spacing w:after="0"/>
      </w:pPr>
      <w:r>
        <w:rPr>
          <w:sz w:val="22"/>
        </w:rPr>
        <w:t xml:space="preserve">[   ]  A control in the risk matrix or the action plan is not working as planned.</w:t>
      </w:r>
    </w:p>
    <w:p>
      <w:pPr>
        <w:spacing w:after="0"/>
      </w:pPr>
      <w:r>
        <w:rPr>
          <w:sz w:val="22"/>
        </w:rPr>
        <w:t xml:space="preserve">[   ]  The children raise something about the area that the assessment did not cover.</w:t>
      </w:r>
    </w:p>
    <w:p>
      <w:pPr>
        <w:spacing w:after="160"/>
      </w:pPr>
      <w:r>
        <w:rPr>
          <w:i/>
          <w:sz w:val="22"/>
        </w:rPr>
        <w:t xml:space="preserve">Record only the kind of trigger and its date here, never the incident or the child it concerned.</w:t>
      </w:r>
    </w:p>
    <w:p>
      <w:pPr>
        <w:keepNext/>
        <w:spacing w:after="120"/>
      </w:pPr>
      <w:r>
        <w:rPr>
          <w:b/>
          <w:sz w:val="24"/>
        </w:rPr>
        <w:t xml:space="preserve">Consultation</w:t>
      </w:r>
    </w:p>
    <w:tbl>
      <w:tblPr>
        <w:tblW w:w="9921" w:type="dxa"/>
        <w:tblBorders>
          <w:top w:val="single" w:color="000000" w:sz="4"/>
          <w:left w:val="single" w:color="000000" w:sz="4"/>
          <w:bottom w:val="single" w:color="000000" w:sz="4"/>
          <w:right w:val="single" w:color="000000" w:sz="4"/>
          <w:insideH w:val="single" w:color="000000" w:sz="4"/>
          <w:insideV w:val="single" w:color="000000" w:sz="4"/>
        </w:tblBorders>
        <w:tblLayout w:type="fixed"/>
        <w:tblCellMar>
          <w:top w:w="40" w:type="dxa"/>
          <w:left w:w="80" w:type="dxa"/>
          <w:bottom w:w="40" w:type="dxa"/>
          <w:right w:w="80" w:type="dxa"/>
        </w:tblCellMar>
      </w:tblPr>
      <w:tblGrid>
        <w:gridCol w:w="3607"/>
        <w:gridCol w:w="1803"/>
        <w:gridCol w:w="1803"/>
        <w:gridCol w:w="2705"/>
      </w:tblGrid>
      <w:tr>
        <w:trPr>
          <w:cantSplit/>
          <w:tblHeader/>
        </w:trPr>
        <w:tc>
          <w:tcPr>
            <w:tcW w:w="3607" w:type="dxa"/>
            <w:shd w:val="clear" w:color="auto" w:fill="E7E6E6"/>
          </w:tcPr>
          <w:p>
            <w:pPr>
              <w:spacing w:after="0"/>
            </w:pPr>
            <w:r>
              <w:rPr>
                <w:b/>
                <w:sz w:val="18"/>
              </w:rPr>
              <w:t xml:space="preserve">Who was asked</w:t>
            </w:r>
          </w:p>
        </w:tc>
        <w:tc>
          <w:tcPr>
            <w:tcW w:w="1803" w:type="dxa"/>
            <w:shd w:val="clear" w:color="auto" w:fill="E7E6E6"/>
          </w:tcPr>
          <w:p>
            <w:pPr>
              <w:spacing w:after="0"/>
            </w:pPr>
            <w:r>
              <w:rPr>
                <w:b/>
                <w:sz w:val="18"/>
              </w:rPr>
              <w:t xml:space="preserve">Sent</w:t>
            </w:r>
          </w:p>
        </w:tc>
        <w:tc>
          <w:tcPr>
            <w:tcW w:w="1803" w:type="dxa"/>
            <w:shd w:val="clear" w:color="auto" w:fill="E7E6E6"/>
          </w:tcPr>
          <w:p>
            <w:pPr>
              <w:spacing w:after="0"/>
            </w:pPr>
            <w:r>
              <w:rPr>
                <w:b/>
                <w:sz w:val="18"/>
              </w:rPr>
              <w:t xml:space="preserve">Reminder sent</w:t>
            </w:r>
          </w:p>
        </w:tc>
        <w:tc>
          <w:tcPr>
            <w:tcW w:w="2705" w:type="dxa"/>
            <w:shd w:val="clear" w:color="auto" w:fill="E7E6E6"/>
          </w:tcPr>
          <w:p>
            <w:pPr>
              <w:spacing w:after="0"/>
            </w:pPr>
            <w:r>
              <w:rPr>
                <w:b/>
                <w:sz w:val="18"/>
              </w:rPr>
              <w:t xml:space="preserve">Outcome</w:t>
            </w:r>
          </w:p>
        </w:tc>
      </w:tr>
      <w:tr>
        <w:trPr>
          <w:cantSplit/>
          <w:trHeight w:val="480" w:hRule="atLeast"/>
        </w:trPr>
        <w:tc>
          <w:tcPr>
            <w:tcW w:w="3607" w:type="dxa"/>
          </w:tcPr>
          <w:p>
            <w:pPr>
              <w:spacing w:after="0"/>
            </w:pPr>
            <w:r>
              <w:rPr>
                <w:sz w:val="18"/>
              </w:rPr>
              <w:t xml:space="preserve">[police force]</w:t>
            </w:r>
          </w:p>
        </w:tc>
        <w:tc>
          <w:tcPr>
            <w:tcW w:w="1803" w:type="dxa"/>
          </w:tcPr>
          <w:p>
            <w:pPr>
              <w:spacing w:after="0"/>
            </w:pPr>
            <w:r>
              <w:rPr>
                <w:sz w:val="18"/>
              </w:rPr>
              <w:t xml:space="preserve">[date]</w:t>
            </w:r>
          </w:p>
        </w:tc>
        <w:tc>
          <w:tcPr>
            <w:tcW w:w="1803" w:type="dxa"/>
          </w:tcPr>
          <w:p>
            <w:pPr>
              <w:spacing w:after="0"/>
            </w:pPr>
            <w:r>
              <w:rPr>
                <w:sz w:val="18"/>
              </w:rPr>
              <w:t xml:space="preserve">[date]</w:t>
            </w:r>
          </w:p>
        </w:tc>
        <w:tc>
          <w:tcPr>
            <w:tcW w:w="2705" w:type="dxa"/>
          </w:tcPr>
          <w:p>
            <w:pPr>
              <w:spacing w:after="0"/>
            </w:pPr>
            <w:r>
              <w:rPr>
                <w:sz w:val="18"/>
              </w:rPr>
              <w:t xml:space="preserve"/>
            </w:r>
          </w:p>
        </w:tc>
      </w:tr>
      <w:tr>
        <w:trPr>
          <w:cantSplit/>
          <w:trHeight w:val="480" w:hRule="atLeast"/>
        </w:trPr>
        <w:tc>
          <w:tcPr>
            <w:tcW w:w="3607" w:type="dxa"/>
          </w:tcPr>
          <w:p>
            <w:pPr>
              <w:spacing w:after="0"/>
            </w:pPr>
            <w:r>
              <w:rPr>
                <w:sz w:val="18"/>
              </w:rPr>
              <w:t xml:space="preserve">[host local authority] children's services</w:t>
            </w:r>
          </w:p>
        </w:tc>
        <w:tc>
          <w:tcPr>
            <w:tcW w:w="1803" w:type="dxa"/>
          </w:tcPr>
          <w:p>
            <w:pPr>
              <w:spacing w:after="0"/>
            </w:pPr>
            <w:r>
              <w:rPr>
                <w:sz w:val="18"/>
              </w:rPr>
              <w:t xml:space="preserve">[date]</w:t>
            </w:r>
          </w:p>
        </w:tc>
        <w:tc>
          <w:tcPr>
            <w:tcW w:w="1803" w:type="dxa"/>
          </w:tcPr>
          <w:p>
            <w:pPr>
              <w:spacing w:after="0"/>
            </w:pPr>
            <w:r>
              <w:rPr>
                <w:sz w:val="18"/>
              </w:rPr>
              <w:t xml:space="preserve">[date]</w:t>
            </w:r>
          </w:p>
        </w:tc>
        <w:tc>
          <w:tcPr>
            <w:tcW w:w="2705" w:type="dxa"/>
          </w:tcPr>
          <w:p>
            <w:pPr>
              <w:spacing w:after="0"/>
            </w:pPr>
            <w:r>
              <w:rPr>
                <w:sz w:val="18"/>
              </w:rPr>
              <w:t xml:space="preserve"/>
            </w:r>
          </w:p>
        </w:tc>
      </w:tr>
      <w:tr>
        <w:trPr>
          <w:cantSplit/>
          <w:trHeight w:val="480" w:hRule="atLeast"/>
        </w:trPr>
        <w:tc>
          <w:tcPr>
            <w:tcW w:w="3607" w:type="dxa"/>
          </w:tcPr>
          <w:p>
            <w:pPr>
              <w:spacing w:after="0"/>
            </w:pPr>
            <w:r>
              <w:rPr>
                <w:sz w:val="18"/>
              </w:rPr>
              <w:t xml:space="preserve">Placing authority: [name of the authority]</w:t>
            </w:r>
          </w:p>
        </w:tc>
        <w:tc>
          <w:tcPr>
            <w:tcW w:w="1803" w:type="dxa"/>
          </w:tcPr>
          <w:p>
            <w:pPr>
              <w:spacing w:after="0"/>
            </w:pPr>
            <w:r>
              <w:rPr>
                <w:sz w:val="18"/>
              </w:rPr>
              <w:t xml:space="preserve">[date]</w:t>
            </w:r>
          </w:p>
        </w:tc>
        <w:tc>
          <w:tcPr>
            <w:tcW w:w="1803" w:type="dxa"/>
          </w:tcPr>
          <w:p>
            <w:pPr>
              <w:spacing w:after="0"/>
            </w:pPr>
            <w:r>
              <w:rPr>
                <w:sz w:val="18"/>
              </w:rPr>
              <w:t xml:space="preserve">[date]</w:t>
            </w:r>
          </w:p>
        </w:tc>
        <w:tc>
          <w:tcPr>
            <w:tcW w:w="2705" w:type="dxa"/>
          </w:tcPr>
          <w:p>
            <w:pPr>
              <w:spacing w:after="0"/>
            </w:pPr>
            <w:r>
              <w:rPr>
                <w:sz w:val="18"/>
              </w:rPr>
              <w:t xml:space="preserve"/>
            </w:r>
          </w:p>
        </w:tc>
      </w:tr>
      <w:tr>
        <w:trPr>
          <w:cantSplit/>
          <w:trHeight w:val="480" w:hRule="atLeast"/>
        </w:trPr>
        <w:tc>
          <w:tcPr>
            <w:tcW w:w="3607" w:type="dxa"/>
          </w:tcPr>
          <w:p>
            <w:pPr>
              <w:spacing w:after="0"/>
            </w:pPr>
            <w:r>
              <w:rPr>
                <w:sz w:val="18"/>
              </w:rPr>
              <w:t xml:space="preserve"/>
            </w:r>
          </w:p>
        </w:tc>
        <w:tc>
          <w:tcPr>
            <w:tcW w:w="1803" w:type="dxa"/>
          </w:tcPr>
          <w:p>
            <w:pPr>
              <w:spacing w:after="0"/>
            </w:pPr>
            <w:r>
              <w:rPr>
                <w:sz w:val="18"/>
              </w:rPr>
              <w:t xml:space="preserve"/>
            </w:r>
          </w:p>
        </w:tc>
        <w:tc>
          <w:tcPr>
            <w:tcW w:w="1803" w:type="dxa"/>
          </w:tcPr>
          <w:p>
            <w:pPr>
              <w:spacing w:after="0"/>
            </w:pPr>
            <w:r>
              <w:rPr>
                <w:sz w:val="18"/>
              </w:rPr>
              <w:t xml:space="preserve"/>
            </w:r>
          </w:p>
        </w:tc>
        <w:tc>
          <w:tcPr>
            <w:tcW w:w="2705" w:type="dxa"/>
          </w:tcPr>
          <w:p>
            <w:pPr>
              <w:spacing w:after="0"/>
            </w:pPr>
            <w:r>
              <w:rPr>
                <w:sz w:val="18"/>
              </w:rPr>
              <w:t xml:space="preserve"/>
            </w:r>
          </w:p>
        </w:tc>
      </w:tr>
      <w:tr>
        <w:trPr>
          <w:cantSplit/>
          <w:trHeight w:val="480" w:hRule="atLeast"/>
        </w:trPr>
        <w:tc>
          <w:tcPr>
            <w:tcW w:w="3607" w:type="dxa"/>
          </w:tcPr>
          <w:p>
            <w:pPr>
              <w:spacing w:after="0"/>
            </w:pPr>
            <w:r>
              <w:rPr>
                <w:sz w:val="18"/>
              </w:rPr>
              <w:t xml:space="preserve"/>
            </w:r>
          </w:p>
        </w:tc>
        <w:tc>
          <w:tcPr>
            <w:tcW w:w="1803" w:type="dxa"/>
          </w:tcPr>
          <w:p>
            <w:pPr>
              <w:spacing w:after="0"/>
            </w:pPr>
            <w:r>
              <w:rPr>
                <w:sz w:val="18"/>
              </w:rPr>
              <w:t xml:space="preserve"/>
            </w:r>
          </w:p>
        </w:tc>
        <w:tc>
          <w:tcPr>
            <w:tcW w:w="1803" w:type="dxa"/>
          </w:tcPr>
          <w:p>
            <w:pPr>
              <w:spacing w:after="0"/>
            </w:pPr>
            <w:r>
              <w:rPr>
                <w:sz w:val="18"/>
              </w:rPr>
              <w:t xml:space="preserve"/>
            </w:r>
          </w:p>
        </w:tc>
        <w:tc>
          <w:tcPr>
            <w:tcW w:w="2705" w:type="dxa"/>
          </w:tcPr>
          <w:p>
            <w:pPr>
              <w:spacing w:after="0"/>
            </w:pPr>
            <w:r>
              <w:rPr>
                <w:sz w:val="18"/>
              </w:rPr>
              <w:t xml:space="preserve"/>
            </w:r>
          </w:p>
        </w:tc>
      </w:tr>
      <w:tr>
        <w:trPr>
          <w:cantSplit/>
          <w:trHeight w:val="480" w:hRule="atLeast"/>
        </w:trPr>
        <w:tc>
          <w:tcPr>
            <w:tcW w:w="3607" w:type="dxa"/>
          </w:tcPr>
          <w:p>
            <w:pPr>
              <w:spacing w:after="0"/>
            </w:pPr>
            <w:r>
              <w:rPr>
                <w:sz w:val="18"/>
              </w:rPr>
              <w:t xml:space="preserve"/>
            </w:r>
          </w:p>
        </w:tc>
        <w:tc>
          <w:tcPr>
            <w:tcW w:w="1803" w:type="dxa"/>
          </w:tcPr>
          <w:p>
            <w:pPr>
              <w:spacing w:after="0"/>
            </w:pPr>
            <w:r>
              <w:rPr>
                <w:sz w:val="18"/>
              </w:rPr>
              <w:t xml:space="preserve"/>
            </w:r>
          </w:p>
        </w:tc>
        <w:tc>
          <w:tcPr>
            <w:tcW w:w="1803" w:type="dxa"/>
          </w:tcPr>
          <w:p>
            <w:pPr>
              <w:spacing w:after="0"/>
            </w:pPr>
            <w:r>
              <w:rPr>
                <w:sz w:val="18"/>
              </w:rPr>
              <w:t xml:space="preserve"/>
            </w:r>
          </w:p>
        </w:tc>
        <w:tc>
          <w:tcPr>
            <w:tcW w:w="2705" w:type="dxa"/>
          </w:tcPr>
          <w:p>
            <w:pPr>
              <w:spacing w:after="0"/>
            </w:pPr>
            <w:r>
              <w:rPr>
                <w:sz w:val="18"/>
              </w:rPr>
              <w:t xml:space="preserve"/>
            </w:r>
          </w:p>
        </w:tc>
      </w:tr>
    </w:tbl>
    <w:p>
      <w:pPr>
        <w:spacing w:after="0"/>
      </w:pPr>
      <w:r>
        <w:rPr>
          <w:sz w:val="22"/>
        </w:rPr>
        <w:t xml:space="preserve"/>
      </w:r>
    </w:p>
    <w:p>
      <w:pPr>
        <w:spacing w:after="160"/>
      </w:pPr>
      <w:r>
        <w:rPr>
          <w:i/>
          <w:sz w:val="22"/>
        </w:rPr>
        <w:t xml:space="preserve">Outcome: a reply with no concerns, a reply with concerns, no reply after a reminder, or a difference in view recorded. A request that met no reply after a reminder is evidence of consultation too.</w:t>
      </w:r>
    </w:p>
    <w:p>
      <w:pPr>
        <w:spacing w:after="160"/>
      </w:pPr>
      <w:r>
        <w:rPr>
          <w:i/>
          <w:sz w:val="22"/>
        </w:rPr>
        <w:t xml:space="preserve">“Any significant differences in view between a home's manager and local services ... should be recorded in the location assessment document.” (Children's homes regulations amendments 2014: advice (non-statutory), paragraph 1.26).</w:t>
      </w:r>
    </w:p>
    <w:p>
      <w:pPr>
        <w:keepNext/>
        <w:spacing w:after="120"/>
      </w:pPr>
      <w:r>
        <w:rPr>
          <w:b/>
          <w:sz w:val="24"/>
        </w:rPr>
        <w:t xml:space="preserve">How the review was done</w:t>
      </w:r>
    </w:p>
    <w:p>
      <w:pPr>
        <w:spacing w:after="0"/>
      </w:pPr>
      <w:r>
        <w:rPr>
          <w:sz w:val="22"/>
        </w:rPr>
        <w:t xml:space="preserve">The children's views of the area were sought on: [date]</w:t>
      </w:r>
    </w:p>
    <w:p>
      <w:pPr>
        <w:spacing w:after="0"/>
      </w:pPr>
      <w:r>
        <w:rPr>
          <w:sz w:val="22"/>
        </w:rPr>
        <w:t xml:space="preserve">The risk matrix and the action plan were updated on: [date]</w:t>
      </w:r>
    </w:p>
    <w:p>
      <w:pPr>
        <w:spacing w:after="0"/>
      </w:pPr>
      <w:r>
        <w:rPr>
          <w:sz w:val="22"/>
        </w:rPr>
        <w:t xml:space="preserve">The placing authority summary was shared before each placement since the last review: [yes / no placements]</w:t>
      </w:r>
    </w:p>
    <w:p>
      <w:pPr>
        <w:spacing w:after="0"/>
      </w:pPr>
      <w:r>
        <w:rPr>
          <w:sz w:val="22"/>
        </w:rPr>
        <w:t xml:space="preserve">The consultation replies, any difference in view and the children's views are recorded above or in the risk matrix, with what changed because of them.</w:t>
      </w:r>
    </w:p>
    <w:p>
      <w:pPr>
        <w:keepNext/>
        <w:spacing w:after="120"/>
      </w:pPr>
      <w:r>
        <w:rPr>
          <w:b/>
          <w:sz w:val="24"/>
        </w:rPr>
        <w:t xml:space="preserve">What the review concluded (tick one)</w:t>
      </w:r>
    </w:p>
    <w:p>
      <w:pPr>
        <w:spacing w:after="0"/>
      </w:pPr>
      <w:r>
        <w:rPr>
          <w:sz w:val="22"/>
        </w:rPr>
        <w:t xml:space="preserve">[   ]  The location is appropriate and suitable for the children the home is set up to care for, with the controls in the risk matrix.</w:t>
      </w:r>
    </w:p>
    <w:p>
      <w:pPr>
        <w:spacing w:after="0"/>
      </w:pPr>
      <w:r>
        <w:rPr>
          <w:sz w:val="22"/>
        </w:rPr>
        <w:t xml:space="preserve">[   ]  The location is suitable once the further actions in the action plan are taken, each with an owner and a date.</w:t>
      </w:r>
    </w:p>
    <w:p>
      <w:pPr>
        <w:spacing w:after="0"/>
      </w:pPr>
      <w:r>
        <w:rPr>
          <w:sz w:val="22"/>
        </w:rPr>
        <w:t xml:space="preserve">[   ]  The location suits some needs and not others; placing decisions and each child's plan reflect it.</w:t>
      </w:r>
    </w:p>
    <w:p>
      <w:pPr>
        <w:spacing w:after="0"/>
      </w:pPr>
      <w:r>
        <w:rPr>
          <w:sz w:val="22"/>
        </w:rPr>
        <w:t xml:space="preserve">[   ]  The location is not suitable; the responsible individual has been told and a plan is in place.</w:t>
      </w:r>
    </w:p>
    <w:p>
      <w:pPr>
        <w:spacing w:after="160"/>
      </w:pPr>
      <w:r>
        <w:rPr>
          <w:i/>
          <w:sz w:val="22"/>
        </w:rPr>
        <w:t xml:space="preserve">The conclusion is the registered person's, from the evidence, the consultation and the views gathered. Record the reasons in the risk matrix, never anything about a child.</w:t>
      </w:r>
    </w:p>
    <w:p>
      <w:pPr>
        <w:keepNext/>
        <w:spacing w:after="120"/>
      </w:pPr>
      <w:r>
        <w:rPr>
          <w:b/>
          <w:sz w:val="24"/>
        </w:rPr>
        <w:t xml:space="preserve">Sign-off</w:t>
      </w:r>
    </w:p>
    <w:tbl>
      <w:tblPr>
        <w:tblW w:w="9921" w:type="dxa"/>
        <w:tblBorders>
          <w:top w:val="single" w:color="000000" w:sz="4"/>
          <w:left w:val="single" w:color="000000" w:sz="4"/>
          <w:bottom w:val="single" w:color="000000" w:sz="4"/>
          <w:right w:val="single" w:color="000000" w:sz="4"/>
          <w:insideH w:val="single" w:color="000000" w:sz="4"/>
          <w:insideV w:val="single" w:color="000000" w:sz="4"/>
        </w:tblBorders>
        <w:tblLayout w:type="fixed"/>
        <w:tblCellMar>
          <w:top w:w="40" w:type="dxa"/>
          <w:left w:w="80" w:type="dxa"/>
          <w:bottom w:w="40" w:type="dxa"/>
          <w:right w:w="80" w:type="dxa"/>
        </w:tblCellMar>
      </w:tblPr>
      <w:tblGrid>
        <w:gridCol w:w="2705"/>
        <w:gridCol w:w="2705"/>
        <w:gridCol w:w="2705"/>
        <w:gridCol w:w="1803"/>
      </w:tblGrid>
      <w:tr>
        <w:trPr>
          <w:cantSplit/>
          <w:tblHeader/>
        </w:trPr>
        <w:tc>
          <w:tcPr>
            <w:tcW w:w="2705" w:type="dxa"/>
            <w:shd w:val="clear" w:color="auto" w:fill="E7E6E6"/>
          </w:tcPr>
          <w:p>
            <w:pPr>
              <w:spacing w:after="0"/>
            </w:pPr>
            <w:r>
              <w:rPr>
                <w:b/>
                <w:sz w:val="18"/>
              </w:rPr>
              <w:t xml:space="preserve">Role</w:t>
            </w:r>
          </w:p>
        </w:tc>
        <w:tc>
          <w:tcPr>
            <w:tcW w:w="2705" w:type="dxa"/>
            <w:shd w:val="clear" w:color="auto" w:fill="E7E6E6"/>
          </w:tcPr>
          <w:p>
            <w:pPr>
              <w:spacing w:after="0"/>
            </w:pPr>
            <w:r>
              <w:rPr>
                <w:b/>
                <w:sz w:val="18"/>
              </w:rPr>
              <w:t xml:space="preserve">Name</w:t>
            </w:r>
          </w:p>
        </w:tc>
        <w:tc>
          <w:tcPr>
            <w:tcW w:w="2705" w:type="dxa"/>
            <w:shd w:val="clear" w:color="auto" w:fill="E7E6E6"/>
          </w:tcPr>
          <w:p>
            <w:pPr>
              <w:spacing w:after="0"/>
            </w:pPr>
            <w:r>
              <w:rPr>
                <w:b/>
                <w:sz w:val="18"/>
              </w:rPr>
              <w:t xml:space="preserve">Signature</w:t>
            </w:r>
          </w:p>
        </w:tc>
        <w:tc>
          <w:tcPr>
            <w:tcW w:w="1803" w:type="dxa"/>
            <w:shd w:val="clear" w:color="auto" w:fill="E7E6E6"/>
          </w:tcPr>
          <w:p>
            <w:pPr>
              <w:spacing w:after="0"/>
            </w:pPr>
            <w:r>
              <w:rPr>
                <w:b/>
                <w:sz w:val="18"/>
              </w:rPr>
              <w:t xml:space="preserve">Date</w:t>
            </w:r>
          </w:p>
        </w:tc>
      </w:tr>
      <w:tr>
        <w:trPr>
          <w:cantSplit/>
          <w:trHeight w:val="600" w:hRule="atLeast"/>
        </w:trPr>
        <w:tc>
          <w:tcPr>
            <w:tcW w:w="2705" w:type="dxa"/>
          </w:tcPr>
          <w:p>
            <w:pPr>
              <w:spacing w:after="0"/>
            </w:pPr>
            <w:r>
              <w:rPr>
                <w:sz w:val="18"/>
              </w:rPr>
              <w:t xml:space="preserve">Registered manager</w:t>
            </w:r>
          </w:p>
        </w:tc>
        <w:tc>
          <w:tcPr>
            <w:tcW w:w="2705" w:type="dxa"/>
          </w:tcPr>
          <w:p>
            <w:pPr>
              <w:spacing w:after="0"/>
            </w:pPr>
            <w:r>
              <w:rPr>
                <w:sz w:val="18"/>
              </w:rPr>
              <w:t xml:space="preserve">[name]</w:t>
            </w:r>
          </w:p>
        </w:tc>
        <w:tc>
          <w:tcPr>
            <w:tcW w:w="2705" w:type="dxa"/>
          </w:tcPr>
          <w:p>
            <w:pPr>
              <w:spacing w:after="0"/>
            </w:pPr>
            <w:r>
              <w:rPr>
                <w:sz w:val="18"/>
              </w:rPr>
              <w:t xml:space="preserve"/>
            </w:r>
          </w:p>
        </w:tc>
        <w:tc>
          <w:tcPr>
            <w:tcW w:w="1803" w:type="dxa"/>
          </w:tcPr>
          <w:p>
            <w:pPr>
              <w:spacing w:after="0"/>
            </w:pPr>
            <w:r>
              <w:rPr>
                <w:sz w:val="18"/>
              </w:rPr>
              <w:t xml:space="preserve">[date]</w:t>
            </w:r>
          </w:p>
        </w:tc>
      </w:tr>
      <w:tr>
        <w:trPr>
          <w:cantSplit/>
          <w:trHeight w:val="600" w:hRule="atLeast"/>
        </w:trPr>
        <w:tc>
          <w:tcPr>
            <w:tcW w:w="2705" w:type="dxa"/>
          </w:tcPr>
          <w:p>
            <w:pPr>
              <w:spacing w:after="0"/>
            </w:pPr>
            <w:r>
              <w:rPr>
                <w:sz w:val="18"/>
              </w:rPr>
              <w:t xml:space="preserve">Responsible individual</w:t>
            </w:r>
          </w:p>
        </w:tc>
        <w:tc>
          <w:tcPr>
            <w:tcW w:w="2705" w:type="dxa"/>
          </w:tcPr>
          <w:p>
            <w:pPr>
              <w:spacing w:after="0"/>
            </w:pPr>
            <w:r>
              <w:rPr>
                <w:sz w:val="18"/>
              </w:rPr>
              <w:t xml:space="preserve">[name]</w:t>
            </w:r>
          </w:p>
        </w:tc>
        <w:tc>
          <w:tcPr>
            <w:tcW w:w="2705" w:type="dxa"/>
          </w:tcPr>
          <w:p>
            <w:pPr>
              <w:spacing w:after="0"/>
            </w:pPr>
            <w:r>
              <w:rPr>
                <w:sz w:val="18"/>
              </w:rPr>
              <w:t xml:space="preserve"/>
            </w:r>
          </w:p>
        </w:tc>
        <w:tc>
          <w:tcPr>
            <w:tcW w:w="1803" w:type="dxa"/>
          </w:tcPr>
          <w:p>
            <w:pPr>
              <w:spacing w:after="0"/>
            </w:pPr>
            <w:r>
              <w:rPr>
                <w:sz w:val="18"/>
              </w:rPr>
              <w:t xml:space="preserve">[date]</w:t>
            </w:r>
          </w:p>
        </w:tc>
      </w:tr>
    </w:tbl>
    <w:p>
      <w:pPr>
        <w:spacing w:after="0"/>
      </w:pPr>
      <w:r>
        <w:rPr>
          <w:sz w:val="22"/>
        </w:rPr>
        <w:t xml:space="preserve"/>
      </w:r>
    </w:p>
    <w:p>
      <w:pPr>
        <w:spacing w:after="160"/>
      </w:pPr>
      <w:r>
        <w:rPr>
          <w:i/>
          <w:sz w:val="22"/>
        </w:rPr>
        <w:t xml:space="preserve">“Managers should update location assessments annually or when there is a change of circumstances” (Ofsted, social care common inspection framework: children's homes, regulation 46).</w:t>
      </w:r>
    </w:p>
    <w:p>
      <w:pPr>
        <w:spacing w:after="160"/>
      </w:pPr>
      <w:r>
        <w:rPr>
          <w:sz w:val="22"/>
        </w:rPr>
        <w:t xml:space="preserve">Keep this record with the location assessment. A home with more than one building has an assessment, and a record, for each.</w:t>
      </w:r>
    </w:p>
    <w:sectPr>
      <w:footerReference xmlns:r="http://schemas.openxmlformats.org/officeDocument/2006/relationships" w:type="default" r:id="Ree80c4f30c814d0e"/>
      <w:pgSz w:w="11906" w:h="16838"/>
      <w:pgMar w:top="1020" w:right="851" w:bottom="1020" w:left="1134" w:header="567" w:footer="454" w:gutter="0"/>
    </w:sectPr>
  </w:body>
</w:document>
</file>

<file path=word/footer1.xml><?xml version="1.0" encoding="utf-8"?>
<w:ftr xmlns:w="http://schemas.openxmlformats.org/wordprocessingml/2006/main">
  <w:p>
    <w:pPr>
      <w:spacing w:after="0"/>
    </w:pPr>
    <w:r>
      <w:rPr>
        <w:sz w:val="16"/>
      </w:rPr>
      <w:t xml:space="preserve">Confidential: the location of a children's home, once completed. Free template from Safeguarding Context: safeguardingcontext.co.uk/childrens-homes</w:t>
    </w:r>
  </w:p>
</w:ftr>
</file>

<file path=word/_rels/document.xml.rels>&#65279;<?xml version="1.0" encoding="utf-8"?><Relationships xmlns="http://schemas.openxmlformats.org/package/2006/relationships"><Relationship Type="http://schemas.openxmlformats.org/officeDocument/2006/relationships/image" Target="/media/image.png" Id="Rd8dcd6d5be9f4654" /><Relationship Type="http://schemas.openxmlformats.org/officeDocument/2006/relationships/footer" Target="/word/footer1.xml" Id="Ree80c4f30c814d0e" /></Relationships>
</file>